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Times New Roman" w:hAnsi="Times New Roman" w:eastAsia="宋体" w:cs="Times New Roman"/>
          <w:color w:val="000000"/>
          <w:kern w:val="0"/>
          <w:sz w:val="44"/>
          <w:szCs w:val="44"/>
        </w:rPr>
      </w:pPr>
      <w:r>
        <w:rPr>
          <w:rFonts w:hint="eastAsia" w:ascii="Times New Roman" w:hAnsi="Times New Roman" w:eastAsia="宋体" w:cs="Times New Roman"/>
          <w:color w:val="000000"/>
          <w:kern w:val="0"/>
          <w:sz w:val="44"/>
          <w:szCs w:val="44"/>
        </w:rPr>
        <w:t>2022-2023年度神农中华农业科技奖</w:t>
      </w:r>
    </w:p>
    <w:p>
      <w:pPr>
        <w:widowControl/>
        <w:shd w:val="clear" w:color="auto" w:fill="FFFFFF"/>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44"/>
          <w:szCs w:val="44"/>
        </w:rPr>
        <w:t>推荐</w:t>
      </w:r>
      <w:r>
        <w:rPr>
          <w:rFonts w:ascii="Times New Roman" w:hAnsi="Times New Roman" w:eastAsia="宋体" w:cs="Times New Roman"/>
          <w:color w:val="000000"/>
          <w:kern w:val="0"/>
          <w:sz w:val="44"/>
          <w:szCs w:val="44"/>
        </w:rPr>
        <w:t>公示表</w:t>
      </w:r>
    </w:p>
    <w:tbl>
      <w:tblPr>
        <w:tblStyle w:val="6"/>
        <w:tblW w:w="9771" w:type="dxa"/>
        <w:jc w:val="center"/>
        <w:shd w:val="clear" w:color="auto" w:fill="FFFFFF"/>
        <w:tblLayout w:type="fixed"/>
        <w:tblCellMar>
          <w:top w:w="15" w:type="dxa"/>
          <w:left w:w="15" w:type="dxa"/>
          <w:bottom w:w="15" w:type="dxa"/>
          <w:right w:w="15" w:type="dxa"/>
        </w:tblCellMar>
      </w:tblPr>
      <w:tblGrid>
        <w:gridCol w:w="918"/>
        <w:gridCol w:w="8853"/>
      </w:tblGrid>
      <w:tr>
        <w:tblPrEx>
          <w:shd w:val="clear" w:color="auto" w:fill="FFFFFF"/>
          <w:tblCellMar>
            <w:top w:w="15" w:type="dxa"/>
            <w:left w:w="15" w:type="dxa"/>
            <w:bottom w:w="15" w:type="dxa"/>
            <w:right w:w="15" w:type="dxa"/>
          </w:tblCellMar>
        </w:tblPrEx>
        <w:trPr>
          <w:trHeight w:val="612" w:hRule="atLeast"/>
          <w:jc w:val="center"/>
        </w:trPr>
        <w:tc>
          <w:tcPr>
            <w:tcW w:w="9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项目名称</w:t>
            </w:r>
          </w:p>
        </w:tc>
        <w:tc>
          <w:tcPr>
            <w:tcW w:w="8853" w:type="dxa"/>
            <w:tcBorders>
              <w:top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bCs/>
                <w:kern w:val="0"/>
                <w:sz w:val="28"/>
                <w:szCs w:val="28"/>
              </w:rPr>
            </w:pPr>
            <w:r>
              <w:rPr>
                <w:rFonts w:hint="eastAsia" w:ascii="Times New Roman" w:hAnsi="Times New Roman" w:eastAsia="宋体" w:cs="Times New Roman"/>
                <w:bCs/>
                <w:kern w:val="0"/>
                <w:sz w:val="28"/>
                <w:szCs w:val="28"/>
              </w:rPr>
              <w:t>牦牛提质增效营养平衡饲养关键技术研发与集成应用</w:t>
            </w:r>
          </w:p>
        </w:tc>
      </w:tr>
      <w:tr>
        <w:tblPrEx>
          <w:shd w:val="clear" w:color="auto" w:fill="FFFFFF"/>
          <w:tblCellMar>
            <w:top w:w="15" w:type="dxa"/>
            <w:left w:w="15" w:type="dxa"/>
            <w:bottom w:w="15" w:type="dxa"/>
            <w:right w:w="15" w:type="dxa"/>
          </w:tblCellMar>
        </w:tblPrEx>
        <w:trPr>
          <w:trHeight w:val="758" w:hRule="atLeast"/>
          <w:jc w:val="center"/>
        </w:trPr>
        <w:tc>
          <w:tcPr>
            <w:tcW w:w="918" w:type="dxa"/>
            <w:tcBorders>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推荐</w:t>
            </w:r>
            <w:r>
              <w:rPr>
                <w:rFonts w:ascii="Times New Roman" w:hAnsi="Times New Roman" w:eastAsia="宋体" w:cs="Times New Roman"/>
                <w:b/>
                <w:kern w:val="0"/>
                <w:szCs w:val="21"/>
              </w:rPr>
              <w:t>单位</w:t>
            </w:r>
          </w:p>
        </w:tc>
        <w:tc>
          <w:tcPr>
            <w:tcW w:w="8853" w:type="dxa"/>
            <w:tcBorders>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青海大学</w:t>
            </w:r>
          </w:p>
        </w:tc>
      </w:tr>
      <w:tr>
        <w:tblPrEx>
          <w:shd w:val="clear" w:color="auto" w:fill="FFFFFF"/>
          <w:tblCellMar>
            <w:top w:w="15" w:type="dxa"/>
            <w:left w:w="15" w:type="dxa"/>
            <w:bottom w:w="15" w:type="dxa"/>
            <w:right w:w="15" w:type="dxa"/>
          </w:tblCellMar>
        </w:tblPrEx>
        <w:trPr>
          <w:trHeight w:val="812" w:hRule="atLeast"/>
          <w:jc w:val="center"/>
        </w:trPr>
        <w:tc>
          <w:tcPr>
            <w:tcW w:w="918" w:type="dxa"/>
            <w:tcBorders>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公示</w:t>
            </w:r>
            <w:r>
              <w:rPr>
                <w:rFonts w:ascii="Times New Roman" w:hAnsi="Times New Roman" w:eastAsia="宋体" w:cs="Times New Roman"/>
                <w:b/>
                <w:kern w:val="0"/>
                <w:szCs w:val="21"/>
              </w:rPr>
              <w:t>单位</w:t>
            </w:r>
          </w:p>
        </w:tc>
        <w:tc>
          <w:tcPr>
            <w:tcW w:w="8853" w:type="dxa"/>
            <w:tcBorders>
              <w:bottom w:val="single" w:color="000000" w:sz="8" w:space="0"/>
              <w:right w:val="single" w:color="000000" w:sz="8" w:space="0"/>
            </w:tcBorders>
            <w:shd w:val="clear" w:color="auto" w:fill="FFFFFF"/>
            <w:vAlign w:val="center"/>
          </w:tcPr>
          <w:p>
            <w:pPr>
              <w:widowControl/>
              <w:ind w:firstLine="11" w:firstLineChars="4"/>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青海大学（盖</w:t>
            </w:r>
            <w:r>
              <w:rPr>
                <w:rFonts w:ascii="Times New Roman" w:hAnsi="Times New Roman" w:eastAsia="宋体" w:cs="Times New Roman"/>
                <w:kern w:val="0"/>
                <w:sz w:val="28"/>
                <w:szCs w:val="28"/>
              </w:rPr>
              <w:t>章）</w:t>
            </w:r>
          </w:p>
        </w:tc>
      </w:tr>
      <w:tr>
        <w:tblPrEx>
          <w:shd w:val="clear" w:color="auto" w:fill="FFFFFF"/>
          <w:tblCellMar>
            <w:top w:w="15" w:type="dxa"/>
            <w:left w:w="15" w:type="dxa"/>
            <w:bottom w:w="15" w:type="dxa"/>
            <w:right w:w="15" w:type="dxa"/>
          </w:tblCellMar>
        </w:tblPrEx>
        <w:trPr>
          <w:trHeight w:val="537" w:hRule="atLeast"/>
          <w:jc w:val="center"/>
        </w:trPr>
        <w:tc>
          <w:tcPr>
            <w:tcW w:w="918" w:type="dxa"/>
            <w:tcBorders>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公示</w:t>
            </w:r>
            <w:r>
              <w:rPr>
                <w:rFonts w:ascii="Times New Roman" w:hAnsi="Times New Roman" w:eastAsia="宋体" w:cs="Times New Roman"/>
                <w:b/>
                <w:kern w:val="0"/>
                <w:szCs w:val="21"/>
              </w:rPr>
              <w:t>时间</w:t>
            </w:r>
          </w:p>
        </w:tc>
        <w:tc>
          <w:tcPr>
            <w:tcW w:w="8853" w:type="dxa"/>
            <w:tcBorders>
              <w:bottom w:val="single" w:color="000000" w:sz="8" w:space="0"/>
              <w:right w:val="single" w:color="000000" w:sz="8" w:space="0"/>
            </w:tcBorders>
            <w:shd w:val="clear" w:color="auto" w:fill="FFFFFF"/>
            <w:vAlign w:val="center"/>
          </w:tcPr>
          <w:p>
            <w:pPr>
              <w:widowControl/>
              <w:ind w:firstLine="11" w:firstLineChars="4"/>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2023年02月</w:t>
            </w:r>
            <w:r>
              <w:rPr>
                <w:rFonts w:ascii="Times New Roman" w:hAnsi="Times New Roman" w:eastAsia="宋体" w:cs="Times New Roman"/>
                <w:kern w:val="0"/>
                <w:sz w:val="28"/>
                <w:szCs w:val="28"/>
              </w:rPr>
              <w:t>1</w:t>
            </w:r>
            <w:r>
              <w:rPr>
                <w:rFonts w:hint="eastAsia" w:ascii="Times New Roman" w:hAnsi="Times New Roman" w:eastAsia="宋体" w:cs="Times New Roman"/>
                <w:kern w:val="0"/>
                <w:sz w:val="28"/>
                <w:szCs w:val="28"/>
                <w:lang w:val="en-US" w:eastAsia="zh-CN"/>
              </w:rPr>
              <w:t>4</w:t>
            </w:r>
            <w:r>
              <w:rPr>
                <w:rFonts w:hint="eastAsia" w:ascii="Times New Roman" w:hAnsi="Times New Roman" w:eastAsia="宋体" w:cs="Times New Roman"/>
                <w:kern w:val="0"/>
                <w:sz w:val="28"/>
                <w:szCs w:val="28"/>
              </w:rPr>
              <w:t>日</w:t>
            </w:r>
            <w:r>
              <w:rPr>
                <w:rFonts w:ascii="Times New Roman" w:hAnsi="Times New Roman" w:eastAsia="宋体" w:cs="Times New Roman"/>
                <w:kern w:val="0"/>
                <w:sz w:val="28"/>
                <w:szCs w:val="28"/>
              </w:rPr>
              <w:t>—202</w:t>
            </w:r>
            <w:r>
              <w:rPr>
                <w:rFonts w:hint="eastAsia" w:ascii="Times New Roman" w:hAnsi="Times New Roman" w:eastAsia="宋体" w:cs="Times New Roman"/>
                <w:kern w:val="0"/>
                <w:sz w:val="28"/>
                <w:szCs w:val="28"/>
              </w:rPr>
              <w:t>3年</w:t>
            </w:r>
            <w:r>
              <w:rPr>
                <w:rFonts w:ascii="Times New Roman" w:hAnsi="Times New Roman" w:eastAsia="宋体" w:cs="Times New Roman"/>
                <w:kern w:val="0"/>
                <w:sz w:val="28"/>
                <w:szCs w:val="28"/>
              </w:rPr>
              <w:t>0</w:t>
            </w:r>
            <w:r>
              <w:rPr>
                <w:rFonts w:hint="eastAsia" w:ascii="Times New Roman" w:hAnsi="Times New Roman" w:eastAsia="宋体" w:cs="Times New Roman"/>
                <w:kern w:val="0"/>
                <w:sz w:val="28"/>
                <w:szCs w:val="28"/>
              </w:rPr>
              <w:t>2月</w:t>
            </w:r>
            <w:r>
              <w:rPr>
                <w:rFonts w:hint="eastAsia" w:ascii="Times New Roman" w:hAnsi="Times New Roman" w:eastAsia="宋体" w:cs="Times New Roman"/>
                <w:kern w:val="0"/>
                <w:sz w:val="28"/>
                <w:szCs w:val="28"/>
                <w:lang w:val="en-US" w:eastAsia="zh-CN"/>
              </w:rPr>
              <w:t>20</w:t>
            </w:r>
            <w:r>
              <w:rPr>
                <w:rFonts w:hint="eastAsia" w:ascii="Times New Roman" w:hAnsi="Times New Roman" w:eastAsia="宋体" w:cs="Times New Roman"/>
                <w:kern w:val="0"/>
                <w:sz w:val="28"/>
                <w:szCs w:val="28"/>
              </w:rPr>
              <w:t>日</w:t>
            </w:r>
          </w:p>
        </w:tc>
      </w:tr>
      <w:tr>
        <w:tblPrEx>
          <w:shd w:val="clear" w:color="auto" w:fill="FFFFFF"/>
          <w:tblCellMar>
            <w:top w:w="15" w:type="dxa"/>
            <w:left w:w="15" w:type="dxa"/>
            <w:bottom w:w="15" w:type="dxa"/>
            <w:right w:w="15" w:type="dxa"/>
          </w:tblCellMar>
        </w:tblPrEx>
        <w:trPr>
          <w:trHeight w:val="638" w:hRule="atLeast"/>
          <w:jc w:val="center"/>
        </w:trPr>
        <w:tc>
          <w:tcPr>
            <w:tcW w:w="918" w:type="dxa"/>
            <w:tcBorders>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完成</w:t>
            </w:r>
            <w:r>
              <w:rPr>
                <w:rFonts w:ascii="Times New Roman" w:hAnsi="Times New Roman" w:eastAsia="宋体" w:cs="Times New Roman"/>
                <w:b/>
                <w:kern w:val="0"/>
                <w:szCs w:val="21"/>
              </w:rPr>
              <w:t>单位</w:t>
            </w:r>
          </w:p>
        </w:tc>
        <w:tc>
          <w:tcPr>
            <w:tcW w:w="8853" w:type="dxa"/>
            <w:tcBorders>
              <w:bottom w:val="single" w:color="000000" w:sz="8" w:space="0"/>
              <w:right w:val="single" w:color="000000" w:sz="8" w:space="0"/>
            </w:tcBorders>
            <w:shd w:val="clear" w:color="auto" w:fill="FFFFFF"/>
            <w:vAlign w:val="center"/>
          </w:tcPr>
          <w:p>
            <w:pPr>
              <w:widowControl/>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青海大学、青海省畜牧兽医科学院、青海省畜牧总站、中国农业大学、西藏自治区农牧科学院畜牧兽医研究所、四川省草原科学研究院、甘肃农业大学、青海省高原牦牛繁育推广服务中心、青海河湟青牧饲料科技开发有限公司、青海夏华清真肉食品有限公司。</w:t>
            </w:r>
          </w:p>
        </w:tc>
      </w:tr>
      <w:tr>
        <w:tblPrEx>
          <w:shd w:val="clear" w:color="auto" w:fill="FFFFFF"/>
          <w:tblCellMar>
            <w:top w:w="15" w:type="dxa"/>
            <w:left w:w="15" w:type="dxa"/>
            <w:bottom w:w="15" w:type="dxa"/>
            <w:right w:w="15" w:type="dxa"/>
          </w:tblCellMar>
        </w:tblPrEx>
        <w:trPr>
          <w:trHeight w:val="638" w:hRule="atLeast"/>
          <w:jc w:val="center"/>
        </w:trPr>
        <w:tc>
          <w:tcPr>
            <w:tcW w:w="918" w:type="dxa"/>
            <w:tcBorders>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主要</w:t>
            </w:r>
            <w:r>
              <w:rPr>
                <w:rFonts w:ascii="Times New Roman" w:hAnsi="Times New Roman" w:eastAsia="宋体" w:cs="Times New Roman"/>
                <w:b/>
                <w:kern w:val="0"/>
                <w:szCs w:val="21"/>
              </w:rPr>
              <w:t>完成人</w:t>
            </w:r>
          </w:p>
        </w:tc>
        <w:tc>
          <w:tcPr>
            <w:tcW w:w="8853" w:type="dxa"/>
            <w:tcBorders>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刘书杰，崔占鸿，孙璐，王迅，王书祥，周振明，郝力壮，张成福，王磊，安添午，柴沙驼，胡江，冯宇哲，马进寿，李吉叶，韩增祥，张新军</w:t>
            </w:r>
          </w:p>
        </w:tc>
      </w:tr>
      <w:tr>
        <w:tblPrEx>
          <w:shd w:val="clear" w:color="auto" w:fill="FFFFFF"/>
          <w:tblCellMar>
            <w:top w:w="15" w:type="dxa"/>
            <w:left w:w="15" w:type="dxa"/>
            <w:bottom w:w="15" w:type="dxa"/>
            <w:right w:w="15" w:type="dxa"/>
          </w:tblCellMar>
        </w:tblPrEx>
        <w:trPr>
          <w:trHeight w:val="127" w:hRule="atLeast"/>
          <w:jc w:val="center"/>
        </w:trPr>
        <w:tc>
          <w:tcPr>
            <w:tcW w:w="9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项目</w:t>
            </w:r>
            <w:r>
              <w:rPr>
                <w:rFonts w:ascii="Times New Roman" w:hAnsi="Times New Roman" w:eastAsia="宋体" w:cs="Times New Roman"/>
                <w:b/>
                <w:kern w:val="0"/>
                <w:szCs w:val="21"/>
              </w:rPr>
              <w:t>简介</w:t>
            </w:r>
          </w:p>
        </w:tc>
        <w:tc>
          <w:tcPr>
            <w:tcW w:w="8853" w:type="dxa"/>
            <w:tcBorders>
              <w:top w:val="single" w:color="auto" w:sz="4" w:space="0"/>
              <w:left w:val="single" w:color="auto" w:sz="4" w:space="0"/>
              <w:bottom w:val="single" w:color="auto" w:sz="4" w:space="0"/>
              <w:right w:val="single" w:color="auto" w:sz="4" w:space="0"/>
            </w:tcBorders>
            <w:shd w:val="clear" w:color="auto" w:fill="FFFFFF"/>
          </w:tcPr>
          <w:p>
            <w:pPr>
              <w:spacing w:line="360" w:lineRule="exact"/>
              <w:ind w:firstLine="482" w:firstLineChars="200"/>
              <w:rPr>
                <w:rFonts w:ascii="宋体" w:hAnsi="宋体" w:eastAsia="宋体"/>
                <w:b/>
                <w:bCs/>
                <w:sz w:val="24"/>
                <w:szCs w:val="24"/>
              </w:rPr>
            </w:pPr>
            <w:r>
              <w:rPr>
                <w:rFonts w:hint="eastAsia" w:ascii="宋体" w:hAnsi="宋体" w:eastAsia="宋体"/>
                <w:b/>
                <w:bCs/>
                <w:sz w:val="24"/>
                <w:szCs w:val="24"/>
              </w:rPr>
              <w:t>1、研究背景</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全国现有牦牛1600多万头，占世界牦牛总数的95%以上，素有“世界牦牛看中国”之说。青海省是全国牦牛存栏数量最多的省份，牦牛存栏量约608万头。牦牛作为青藏高原牧区牧民最主要的生产生活资料来源，牦牛在高原放牧生产系统中 “不可替代性、全能性、优良性、基础性”的特点鲜明，成为当地的优势产业、主导产业、特色产业，亦是当地的民生产业、扶贫产业和生态产业。</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传统饲养模式造成了很大的资源浪费，受天然草地营养供应不均衡问题的困扰，加之牦牛养殖缺乏科学的饲料评价体系和营养补饲调控技术，养殖效益远低于其它肉牛品种，整体养殖水平落后于全国平均水平，缺乏竞争力。这些实际情况正是牦牛产业存在 的主要问题，同时也是提升牦牛生产系统效率的主要着力点，牦牛生产性能还有较大的 提升空间，解决好牦牛营养供给不足与不平衡这一核心问题，可有力支撑区域牦牛产业的提质增效发展。</w:t>
            </w:r>
          </w:p>
          <w:p>
            <w:pPr>
              <w:spacing w:line="360" w:lineRule="exact"/>
              <w:ind w:firstLine="482" w:firstLineChars="200"/>
              <w:rPr>
                <w:rFonts w:ascii="宋体" w:hAnsi="宋体" w:eastAsia="宋体"/>
                <w:sz w:val="24"/>
                <w:szCs w:val="24"/>
              </w:rPr>
            </w:pPr>
            <w:r>
              <w:rPr>
                <w:rFonts w:hint="eastAsia" w:ascii="宋体" w:hAnsi="宋体" w:eastAsia="宋体"/>
                <w:b/>
                <w:bCs/>
                <w:sz w:val="24"/>
                <w:szCs w:val="24"/>
              </w:rPr>
              <w:t>2、主要技术方案和内容</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项目针对牦牛产业发展中“营养供给不足与不平衡”的瓶颈问题，历经20余年的技术攻关与示范推广，实现了系统的“理论创新”、“技术攻关”和“模式创建”，整体成果达国内领先水平。</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（1）牦牛营养需要量及其饲养标准研究：建立牦牛呼吸代谢环控舱及代谢气体测定方法；牦牛采食量研究，生长期牦牛、繁殖期母牦牛牦牛犊牛的营养需要量研究；舍饲牦牛日粮适宜能氮水平研究。</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（2）天然草地营养动态监测与评价技术体系：天然草地牧草营养全年动态监测技术；天然草地营养载畜量核定技术；天然草地草畜营养平衡诊断及预警技术。</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3）牦牛专用饲草料产品研发与应用：牦牛常用饲草料营养价值评价；牦牛常用饲草料营养组合效应研究；饲草青贮菌剂研发及高效利用技术研究；牦牛营养舔块系列产品研制及应用；牦牛专用精料补充料产品研发及应用；牦牛生物发酵精补料产品研发及应用；油菜秸秆类饲料资源开发利用技术研究。</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4）牦牛生产性能营养调控技术：牦牛繁殖性能提升调控技术；牦牛犊牛提质培育技术；出栏牦牛营养平衡补饲调控技术；放牧牦牛肉品质营养调控技术；舍饲牦牛肉品质营养调控技术；牦牛乳营养调控技术；牦牛饲养配套设施和信息化支撑技术。</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（5）以“草畜营养平衡”理论实施分类指导，集成创建因地制宜、分类实施的牦牛营养平衡饲养技术模式。</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（6）深化区域合作，由青海省牵头，建设牦牛科研与技术推广区域服务平台，为开展关键技术攻关、成果转化等提供了坚实基础。</w:t>
            </w:r>
          </w:p>
          <w:p>
            <w:pPr>
              <w:spacing w:line="360" w:lineRule="exact"/>
              <w:ind w:firstLine="482" w:firstLineChars="200"/>
              <w:rPr>
                <w:rFonts w:ascii="宋体" w:hAnsi="宋体" w:eastAsia="宋体"/>
                <w:b/>
                <w:bCs/>
                <w:sz w:val="24"/>
                <w:szCs w:val="24"/>
              </w:rPr>
            </w:pPr>
            <w:r>
              <w:rPr>
                <w:rFonts w:hint="eastAsia" w:ascii="宋体" w:hAnsi="宋体" w:eastAsia="宋体"/>
                <w:b/>
                <w:bCs/>
                <w:sz w:val="24"/>
                <w:szCs w:val="24"/>
              </w:rPr>
              <w:t>3、主要科技创新点</w:t>
            </w:r>
          </w:p>
          <w:p>
            <w:pPr>
              <w:spacing w:line="360" w:lineRule="exact"/>
              <w:ind w:firstLine="480" w:firstLineChars="200"/>
              <w:rPr>
                <w:rFonts w:hint="eastAsia" w:ascii="宋体" w:hAnsi="宋体" w:eastAsia="宋体"/>
                <w:sz w:val="24"/>
                <w:szCs w:val="24"/>
              </w:rPr>
            </w:pPr>
            <w:r>
              <w:rPr>
                <w:rFonts w:hint="eastAsia" w:ascii="宋体" w:hAnsi="宋体" w:eastAsia="宋体"/>
                <w:sz w:val="24"/>
                <w:szCs w:val="24"/>
              </w:rPr>
              <w:t>（1）基础研究，理论创新，提出“草畜营养平衡”新理论。</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（2）研究了牦牛“生长期、繁殖期、犊牛”能量、蛋白质和矿物质的营养需要量，创建了牦牛饲养标准1套，为青藏高原地区牦牛营养平衡饲养提供了重要依据。</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（3）集成创新应用理论研究成果与核心技术，构建了牦牛营养平衡饲养技术体系3套。</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4）以“草畜营养平衡”理论实施分类指导，创建了“3+3”关键技术组合新模式，组建了覆盖牦牛主产区的“省-州-县(市)”技术协同推广平台，形成以生长需求、数量平衡为基础，营养平衡、环境平衡为保障，草畜高效转化为突破的生态保护与经济效益双赢、可复制、可推广的示范样板。</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（5）深化区域合作，由青海省牵头，联合全国从事牦牛科研的 9 家省部实验室成立了国内首个“牦牛研究开发联合实验室”，获批农业农村部青藏高原放牧牦牛藏羊动物营养与饲草料重点实验室（部省共建）、农业农村部农业科技创新集成示范基地（青海）、国家牦牛标准化区域服务与推广平台等，建成了牦牛科研与技术推广区域服务平台，为开展关键技术攻关、成果转化等提供了坚实基础。</w:t>
            </w:r>
          </w:p>
          <w:p>
            <w:pPr>
              <w:widowControl/>
              <w:spacing w:line="360" w:lineRule="exact"/>
              <w:jc w:val="left"/>
              <w:rPr>
                <w:rFonts w:ascii="宋体" w:hAnsi="宋体" w:eastAsia="宋体"/>
              </w:rPr>
            </w:pPr>
            <w:r>
              <w:rPr>
                <w:rFonts w:hint="eastAsia" w:ascii="宋体" w:hAnsi="宋体" w:eastAsia="宋体"/>
                <w:sz w:val="24"/>
                <w:szCs w:val="24"/>
              </w:rPr>
              <w:t xml:space="preserve">    </w:t>
            </w:r>
            <w:r>
              <w:rPr>
                <w:rFonts w:hint="eastAsia" w:ascii="宋体" w:hAnsi="宋体" w:eastAsia="宋体"/>
                <w:b/>
                <w:bCs/>
                <w:sz w:val="24"/>
                <w:szCs w:val="24"/>
              </w:rPr>
              <w:t xml:space="preserve">4、授权专利和其他知识产权情况 </w:t>
            </w:r>
          </w:p>
          <w:p>
            <w:pPr>
              <w:spacing w:line="360" w:lineRule="exact"/>
              <w:ind w:firstLine="480" w:firstLineChars="200"/>
              <w:rPr>
                <w:rFonts w:ascii="宋体" w:hAnsi="宋体" w:eastAsia="宋体"/>
                <w:sz w:val="24"/>
                <w:szCs w:val="24"/>
              </w:rPr>
            </w:pPr>
            <w:r>
              <w:rPr>
                <w:rFonts w:ascii="宋体" w:hAnsi="宋体" w:eastAsia="宋体"/>
                <w:sz w:val="24"/>
                <w:szCs w:val="24"/>
              </w:rPr>
              <w:t>本项目技术成果获得获国家发明专利 3件，</w:t>
            </w:r>
            <w:r>
              <w:rPr>
                <w:rFonts w:hint="eastAsia" w:ascii="宋体" w:hAnsi="宋体" w:eastAsia="宋体"/>
                <w:sz w:val="24"/>
                <w:szCs w:val="24"/>
              </w:rPr>
              <w:t>研发牦牛饲养设施设备</w:t>
            </w:r>
            <w:r>
              <w:rPr>
                <w:rFonts w:ascii="宋体" w:hAnsi="宋体" w:eastAsia="宋体"/>
                <w:sz w:val="24"/>
                <w:szCs w:val="24"/>
              </w:rPr>
              <w:t>16项</w:t>
            </w:r>
            <w:r>
              <w:rPr>
                <w:rFonts w:hint="eastAsia" w:ascii="宋体" w:hAnsi="宋体" w:eastAsia="宋体"/>
                <w:sz w:val="24"/>
                <w:szCs w:val="24"/>
              </w:rPr>
              <w:t>；</w:t>
            </w:r>
            <w:r>
              <w:rPr>
                <w:rFonts w:ascii="宋体" w:hAnsi="宋体" w:eastAsia="宋体"/>
                <w:sz w:val="24"/>
                <w:szCs w:val="24"/>
              </w:rPr>
              <w:t>计算机软件著作权12项；国家重点新产品证书1个；入选农业部主推技术1项；制定国家标准 1 项，行业标准 2 项， 标准 8 项；出版著作2部，发表学术论文</w:t>
            </w:r>
            <w:r>
              <w:rPr>
                <w:rFonts w:hint="eastAsia" w:ascii="宋体" w:hAnsi="宋体" w:eastAsia="宋体"/>
                <w:sz w:val="24"/>
                <w:szCs w:val="24"/>
              </w:rPr>
              <w:t>212</w:t>
            </w:r>
            <w:r>
              <w:rPr>
                <w:rFonts w:ascii="宋体" w:hAnsi="宋体" w:eastAsia="宋体"/>
                <w:sz w:val="24"/>
                <w:szCs w:val="24"/>
              </w:rPr>
              <w:t>篇，其中</w:t>
            </w:r>
            <w:r>
              <w:rPr>
                <w:rFonts w:hint="eastAsia" w:ascii="宋体" w:hAnsi="宋体" w:eastAsia="宋体"/>
                <w:sz w:val="24"/>
                <w:szCs w:val="24"/>
              </w:rPr>
              <w:t>SCI论文21篇；获得省级科技成果9项。整体</w:t>
            </w:r>
            <w:r>
              <w:rPr>
                <w:rFonts w:ascii="宋体" w:hAnsi="宋体" w:eastAsia="宋体"/>
                <w:sz w:val="24"/>
                <w:szCs w:val="24"/>
              </w:rPr>
              <w:t>成果总体处于国际先进水平，部分国际领先。</w:t>
            </w:r>
          </w:p>
          <w:p>
            <w:pPr>
              <w:spacing w:line="360" w:lineRule="exact"/>
              <w:ind w:firstLine="482" w:firstLineChars="200"/>
              <w:rPr>
                <w:rFonts w:ascii="宋体" w:hAnsi="宋体" w:eastAsia="宋体"/>
                <w:sz w:val="24"/>
                <w:szCs w:val="24"/>
              </w:rPr>
            </w:pPr>
            <w:r>
              <w:rPr>
                <w:rFonts w:hint="eastAsia" w:ascii="宋体" w:hAnsi="宋体" w:eastAsia="宋体"/>
                <w:b/>
                <w:bCs/>
                <w:sz w:val="24"/>
                <w:szCs w:val="24"/>
              </w:rPr>
              <w:t>5、</w:t>
            </w:r>
            <w:r>
              <w:rPr>
                <w:rFonts w:ascii="宋体" w:hAnsi="宋体" w:eastAsia="宋体"/>
                <w:b/>
                <w:bCs/>
                <w:sz w:val="24"/>
                <w:szCs w:val="24"/>
              </w:rPr>
              <w:t xml:space="preserve">技术成熟度和应用推广及效益情况 </w:t>
            </w:r>
          </w:p>
          <w:p>
            <w:pPr>
              <w:spacing w:line="360" w:lineRule="exact"/>
              <w:ind w:firstLine="480" w:firstLineChars="200"/>
              <w:rPr>
                <w:rFonts w:ascii="Times New Roman" w:hAnsi="Times New Roman" w:eastAsia="宋体" w:cs="Times New Roman"/>
                <w:kern w:val="0"/>
                <w:szCs w:val="21"/>
              </w:rPr>
            </w:pPr>
            <w:r>
              <w:rPr>
                <w:rFonts w:ascii="宋体" w:hAnsi="宋体" w:eastAsia="宋体"/>
                <w:sz w:val="24"/>
                <w:szCs w:val="24"/>
              </w:rPr>
              <w:t>本项目推广集成技术14项，研制牦牛专用新型营养舔砖9种，精补料产品</w:t>
            </w:r>
            <w:r>
              <w:rPr>
                <w:rFonts w:hint="eastAsia" w:ascii="宋体" w:hAnsi="宋体" w:eastAsia="宋体"/>
                <w:sz w:val="24"/>
                <w:szCs w:val="24"/>
              </w:rPr>
              <w:t>4</w:t>
            </w:r>
            <w:r>
              <w:rPr>
                <w:rFonts w:ascii="宋体" w:hAnsi="宋体" w:eastAsia="宋体"/>
                <w:sz w:val="24"/>
                <w:szCs w:val="24"/>
              </w:rPr>
              <w:t>个，确定了饲草料典型组合配方16个，在青海、西藏、四川、甘肃等地区进行成果推广应用，累计出栏牦牛60.23万头，母畜补饲16.04万头，辐射推广110.56万头，累计经济效益81063.37万元。</w:t>
            </w:r>
          </w:p>
        </w:tc>
      </w:tr>
    </w:tbl>
    <w:p>
      <w:pPr>
        <w:rPr>
          <w:rFonts w:ascii="Times New Roman" w:hAnsi="Times New Roman" w:cs="Times New Roman"/>
        </w:rPr>
      </w:pPr>
    </w:p>
    <w:sectPr>
      <w:footerReference r:id="rId3" w:type="default"/>
      <w:pgSz w:w="11906" w:h="16838"/>
      <w:pgMar w:top="1440" w:right="113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638872"/>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ZWFiYmExZWE4M2I5ZWYzMzY2M2Y3MTU2OTUxM2UifQ=="/>
  </w:docVars>
  <w:rsids>
    <w:rsidRoot w:val="003738EB"/>
    <w:rsid w:val="000146B4"/>
    <w:rsid w:val="0002375C"/>
    <w:rsid w:val="0003479D"/>
    <w:rsid w:val="00056CFE"/>
    <w:rsid w:val="000605C8"/>
    <w:rsid w:val="0006489F"/>
    <w:rsid w:val="00067557"/>
    <w:rsid w:val="00095A87"/>
    <w:rsid w:val="0009645E"/>
    <w:rsid w:val="000D102D"/>
    <w:rsid w:val="000D68D5"/>
    <w:rsid w:val="00133697"/>
    <w:rsid w:val="00136703"/>
    <w:rsid w:val="00162FAC"/>
    <w:rsid w:val="00180006"/>
    <w:rsid w:val="001827A2"/>
    <w:rsid w:val="00195CDF"/>
    <w:rsid w:val="001A1E9C"/>
    <w:rsid w:val="001D2EAE"/>
    <w:rsid w:val="001D5228"/>
    <w:rsid w:val="001F140F"/>
    <w:rsid w:val="001F1ECF"/>
    <w:rsid w:val="001F4F12"/>
    <w:rsid w:val="001F6EA8"/>
    <w:rsid w:val="00206C7F"/>
    <w:rsid w:val="00233E0B"/>
    <w:rsid w:val="00236175"/>
    <w:rsid w:val="00240F99"/>
    <w:rsid w:val="00247749"/>
    <w:rsid w:val="00273AD2"/>
    <w:rsid w:val="0028583F"/>
    <w:rsid w:val="002A5C04"/>
    <w:rsid w:val="002A7631"/>
    <w:rsid w:val="002B6DA3"/>
    <w:rsid w:val="002C5FD2"/>
    <w:rsid w:val="002D0BCD"/>
    <w:rsid w:val="002F1A67"/>
    <w:rsid w:val="00313538"/>
    <w:rsid w:val="0032016E"/>
    <w:rsid w:val="00321201"/>
    <w:rsid w:val="0035712C"/>
    <w:rsid w:val="00360012"/>
    <w:rsid w:val="003738EB"/>
    <w:rsid w:val="003827CC"/>
    <w:rsid w:val="00382B5D"/>
    <w:rsid w:val="00385185"/>
    <w:rsid w:val="003928B3"/>
    <w:rsid w:val="003B5FFD"/>
    <w:rsid w:val="003E581F"/>
    <w:rsid w:val="003F0139"/>
    <w:rsid w:val="004031C6"/>
    <w:rsid w:val="0044727F"/>
    <w:rsid w:val="00451E3A"/>
    <w:rsid w:val="004524F7"/>
    <w:rsid w:val="004526CC"/>
    <w:rsid w:val="00481BBC"/>
    <w:rsid w:val="004845AD"/>
    <w:rsid w:val="004A62F3"/>
    <w:rsid w:val="004B3143"/>
    <w:rsid w:val="004C37E9"/>
    <w:rsid w:val="004C3B57"/>
    <w:rsid w:val="004C4E0A"/>
    <w:rsid w:val="004C7348"/>
    <w:rsid w:val="004D202C"/>
    <w:rsid w:val="004D5B08"/>
    <w:rsid w:val="004D7411"/>
    <w:rsid w:val="004E051C"/>
    <w:rsid w:val="004E626B"/>
    <w:rsid w:val="004F316C"/>
    <w:rsid w:val="004F7455"/>
    <w:rsid w:val="005003D2"/>
    <w:rsid w:val="00516696"/>
    <w:rsid w:val="00517340"/>
    <w:rsid w:val="005237A4"/>
    <w:rsid w:val="00542D81"/>
    <w:rsid w:val="0054308B"/>
    <w:rsid w:val="00545B66"/>
    <w:rsid w:val="00547F20"/>
    <w:rsid w:val="00582441"/>
    <w:rsid w:val="0059250B"/>
    <w:rsid w:val="005932E4"/>
    <w:rsid w:val="005A01DD"/>
    <w:rsid w:val="005A1CD3"/>
    <w:rsid w:val="005A2857"/>
    <w:rsid w:val="005C1F4B"/>
    <w:rsid w:val="005D3F46"/>
    <w:rsid w:val="005E08D8"/>
    <w:rsid w:val="005E0B70"/>
    <w:rsid w:val="005E1ED6"/>
    <w:rsid w:val="005E23E3"/>
    <w:rsid w:val="005E5218"/>
    <w:rsid w:val="006017DD"/>
    <w:rsid w:val="00615E08"/>
    <w:rsid w:val="00624917"/>
    <w:rsid w:val="00642E26"/>
    <w:rsid w:val="00671572"/>
    <w:rsid w:val="00681D35"/>
    <w:rsid w:val="006857A9"/>
    <w:rsid w:val="006860C5"/>
    <w:rsid w:val="00695233"/>
    <w:rsid w:val="0069744F"/>
    <w:rsid w:val="006C3C35"/>
    <w:rsid w:val="006D0345"/>
    <w:rsid w:val="006E69B7"/>
    <w:rsid w:val="006E6DAA"/>
    <w:rsid w:val="00701160"/>
    <w:rsid w:val="00704595"/>
    <w:rsid w:val="00730A16"/>
    <w:rsid w:val="00735967"/>
    <w:rsid w:val="007550C8"/>
    <w:rsid w:val="007573AA"/>
    <w:rsid w:val="007674C9"/>
    <w:rsid w:val="00770B5C"/>
    <w:rsid w:val="007725AA"/>
    <w:rsid w:val="007737D7"/>
    <w:rsid w:val="0079602B"/>
    <w:rsid w:val="007975C1"/>
    <w:rsid w:val="007C5B04"/>
    <w:rsid w:val="007D17DC"/>
    <w:rsid w:val="007D5588"/>
    <w:rsid w:val="007D5938"/>
    <w:rsid w:val="007E4A28"/>
    <w:rsid w:val="007E68FD"/>
    <w:rsid w:val="007F153E"/>
    <w:rsid w:val="008160A0"/>
    <w:rsid w:val="00846D7D"/>
    <w:rsid w:val="008630A4"/>
    <w:rsid w:val="0087012B"/>
    <w:rsid w:val="0088747B"/>
    <w:rsid w:val="00893398"/>
    <w:rsid w:val="0089671D"/>
    <w:rsid w:val="008A3088"/>
    <w:rsid w:val="008C0723"/>
    <w:rsid w:val="008E1A11"/>
    <w:rsid w:val="008E2B07"/>
    <w:rsid w:val="008E7377"/>
    <w:rsid w:val="009428D5"/>
    <w:rsid w:val="00950432"/>
    <w:rsid w:val="0096197C"/>
    <w:rsid w:val="009649BD"/>
    <w:rsid w:val="009877B7"/>
    <w:rsid w:val="00992A0C"/>
    <w:rsid w:val="00992BEA"/>
    <w:rsid w:val="00995776"/>
    <w:rsid w:val="009A15BE"/>
    <w:rsid w:val="009B308C"/>
    <w:rsid w:val="009D0F1D"/>
    <w:rsid w:val="009E0DD8"/>
    <w:rsid w:val="009E41E0"/>
    <w:rsid w:val="009E4AF2"/>
    <w:rsid w:val="009F3345"/>
    <w:rsid w:val="009F5072"/>
    <w:rsid w:val="00A03CAE"/>
    <w:rsid w:val="00A07A02"/>
    <w:rsid w:val="00A1101C"/>
    <w:rsid w:val="00A13060"/>
    <w:rsid w:val="00A135D4"/>
    <w:rsid w:val="00A22F1C"/>
    <w:rsid w:val="00A40D90"/>
    <w:rsid w:val="00A52289"/>
    <w:rsid w:val="00A6334D"/>
    <w:rsid w:val="00A65D59"/>
    <w:rsid w:val="00A74942"/>
    <w:rsid w:val="00A81473"/>
    <w:rsid w:val="00A870AD"/>
    <w:rsid w:val="00A91B1D"/>
    <w:rsid w:val="00A94AB6"/>
    <w:rsid w:val="00A97758"/>
    <w:rsid w:val="00AA1CC2"/>
    <w:rsid w:val="00AB122B"/>
    <w:rsid w:val="00AB241C"/>
    <w:rsid w:val="00AC7313"/>
    <w:rsid w:val="00AD5F51"/>
    <w:rsid w:val="00AD6634"/>
    <w:rsid w:val="00AE3571"/>
    <w:rsid w:val="00AE7644"/>
    <w:rsid w:val="00B11B4D"/>
    <w:rsid w:val="00B12578"/>
    <w:rsid w:val="00B21C34"/>
    <w:rsid w:val="00B32A2E"/>
    <w:rsid w:val="00B40701"/>
    <w:rsid w:val="00B53637"/>
    <w:rsid w:val="00B55CF1"/>
    <w:rsid w:val="00B968E8"/>
    <w:rsid w:val="00BB48A1"/>
    <w:rsid w:val="00BC7014"/>
    <w:rsid w:val="00BD2D50"/>
    <w:rsid w:val="00BF115B"/>
    <w:rsid w:val="00C01445"/>
    <w:rsid w:val="00C04029"/>
    <w:rsid w:val="00C26FB2"/>
    <w:rsid w:val="00C27FA3"/>
    <w:rsid w:val="00C40F92"/>
    <w:rsid w:val="00C43430"/>
    <w:rsid w:val="00C50AB6"/>
    <w:rsid w:val="00C62888"/>
    <w:rsid w:val="00C63C10"/>
    <w:rsid w:val="00C64A06"/>
    <w:rsid w:val="00C72061"/>
    <w:rsid w:val="00C738CE"/>
    <w:rsid w:val="00C75013"/>
    <w:rsid w:val="00C863FE"/>
    <w:rsid w:val="00C9272C"/>
    <w:rsid w:val="00CA56AD"/>
    <w:rsid w:val="00CC1C07"/>
    <w:rsid w:val="00CD53EF"/>
    <w:rsid w:val="00CE2167"/>
    <w:rsid w:val="00CE3070"/>
    <w:rsid w:val="00CE4419"/>
    <w:rsid w:val="00CF59A0"/>
    <w:rsid w:val="00D20B0B"/>
    <w:rsid w:val="00D25A11"/>
    <w:rsid w:val="00D2762B"/>
    <w:rsid w:val="00D753B6"/>
    <w:rsid w:val="00D76DBF"/>
    <w:rsid w:val="00DB0330"/>
    <w:rsid w:val="00DB4131"/>
    <w:rsid w:val="00DD01DC"/>
    <w:rsid w:val="00DD1BAB"/>
    <w:rsid w:val="00DE386F"/>
    <w:rsid w:val="00DE5C43"/>
    <w:rsid w:val="00DE74BC"/>
    <w:rsid w:val="00DF5787"/>
    <w:rsid w:val="00E04FCE"/>
    <w:rsid w:val="00E07DDF"/>
    <w:rsid w:val="00E149C3"/>
    <w:rsid w:val="00E17C70"/>
    <w:rsid w:val="00E244E1"/>
    <w:rsid w:val="00E30786"/>
    <w:rsid w:val="00E323AF"/>
    <w:rsid w:val="00E426C0"/>
    <w:rsid w:val="00E44B79"/>
    <w:rsid w:val="00E87E5D"/>
    <w:rsid w:val="00EC3C41"/>
    <w:rsid w:val="00EC4EBA"/>
    <w:rsid w:val="00ED0984"/>
    <w:rsid w:val="00EE5636"/>
    <w:rsid w:val="00EE7B88"/>
    <w:rsid w:val="00EF45DE"/>
    <w:rsid w:val="00F1622E"/>
    <w:rsid w:val="00F16F16"/>
    <w:rsid w:val="00F23AFF"/>
    <w:rsid w:val="00F41776"/>
    <w:rsid w:val="00F55FCB"/>
    <w:rsid w:val="00FB03BE"/>
    <w:rsid w:val="00FB5663"/>
    <w:rsid w:val="00FC590E"/>
    <w:rsid w:val="00FD3A58"/>
    <w:rsid w:val="00FD5624"/>
    <w:rsid w:val="00FE0F68"/>
    <w:rsid w:val="00FE7372"/>
    <w:rsid w:val="20AA7ADA"/>
    <w:rsid w:val="2A406C8A"/>
    <w:rsid w:val="5F7A755A"/>
    <w:rsid w:val="766A6620"/>
    <w:rsid w:val="78EF4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unhideWhenUsed/>
    <w:uiPriority w:val="99"/>
    <w:pPr>
      <w:spacing w:line="360" w:lineRule="auto"/>
      <w:ind w:firstLine="480" w:firstLineChars="200"/>
    </w:pPr>
    <w:rPr>
      <w:rFonts w:ascii="仿宋_GB2312" w:hAnsi="Times New Roman" w:eastAsia="宋体" w:cs="Times New Roman"/>
      <w:sz w:val="24"/>
      <w:szCs w:val="24"/>
    </w:rPr>
  </w:style>
  <w:style w:type="paragraph" w:styleId="3">
    <w:name w:val="Balloon Text"/>
    <w:basedOn w:val="1"/>
    <w:link w:val="13"/>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paragraph" w:styleId="10">
    <w:name w:val="List Paragraph"/>
    <w:basedOn w:val="1"/>
    <w:qFormat/>
    <w:uiPriority w:val="34"/>
    <w:pPr>
      <w:ind w:firstLine="420" w:firstLineChars="200"/>
    </w:pPr>
  </w:style>
  <w:style w:type="character" w:customStyle="1" w:styleId="11">
    <w:name w:val="纯文本 Char1"/>
    <w:basedOn w:val="7"/>
    <w:link w:val="2"/>
    <w:uiPriority w:val="0"/>
    <w:rPr>
      <w:rFonts w:ascii="仿宋_GB2312" w:hAnsi="Times New Roman" w:eastAsia="宋体" w:cs="Times New Roman"/>
      <w:sz w:val="24"/>
      <w:szCs w:val="24"/>
    </w:rPr>
  </w:style>
  <w:style w:type="character" w:customStyle="1" w:styleId="12">
    <w:name w:val="纯文本 Char"/>
    <w:qFormat/>
    <w:uiPriority w:val="99"/>
    <w:rPr>
      <w:rFonts w:ascii="仿宋_GB2312" w:hAnsi="Times New Roman" w:eastAsia="宋体" w:cs="Times New Roman"/>
      <w:sz w:val="24"/>
      <w:szCs w:val="20"/>
    </w:rPr>
  </w:style>
  <w:style w:type="character" w:customStyle="1" w:styleId="13">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1982</Words>
  <Characters>2040</Characters>
  <Lines>14</Lines>
  <Paragraphs>4</Paragraphs>
  <TotalTime>14</TotalTime>
  <ScaleCrop>false</ScaleCrop>
  <LinksUpToDate>false</LinksUpToDate>
  <CharactersWithSpaces>2059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2022-07-12T11:05:00Z</dcterms:created>
  <dc:creator>User</dc:creator>
  <cp:lastModifiedBy>随缘而安</cp:lastModifiedBy>
  <cp:lastPrinted>2023-02-14T07:15:00Z</cp:lastPrinted>
  <dcterms:modified xsi:type="dcterms:W3CDTF">2023-02-14T07:33:42Z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5EB98DCB563D4AF48DF8862BFDDCED97</vt:lpwstr>
  </property>
</Properties>
</file>